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D6" w:rsidRPr="00852DD6" w:rsidRDefault="00852DD6" w:rsidP="00852DD6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852DD6" w:rsidRPr="00852DD6" w:rsidRDefault="00852DD6" w:rsidP="00852DD6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852DD6" w:rsidRPr="00852DD6" w:rsidRDefault="00852DD6" w:rsidP="00852DD6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САДОВЫЙ СЕЛЬСОВЕТ </w:t>
      </w:r>
      <w:r w:rsidRPr="00852D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ПЕРЕВОЛОЦКОГО РАЙОНА ОРЕНБУРГСКОЙ ОБЛАСТИ</w:t>
      </w:r>
    </w:p>
    <w:p w:rsidR="00852DD6" w:rsidRPr="00852DD6" w:rsidRDefault="00852DD6" w:rsidP="00852DD6">
      <w:pPr>
        <w:rPr>
          <w:lang w:eastAsia="ar-SA"/>
        </w:rPr>
      </w:pPr>
    </w:p>
    <w:p w:rsidR="00852DD6" w:rsidRPr="00852DD6" w:rsidRDefault="00852DD6" w:rsidP="00852DD6">
      <w:pPr>
        <w:jc w:val="center"/>
        <w:rPr>
          <w:b/>
          <w:bCs/>
          <w:sz w:val="24"/>
          <w:szCs w:val="24"/>
        </w:rPr>
      </w:pPr>
      <w:proofErr w:type="gramStart"/>
      <w:r w:rsidRPr="00852DD6">
        <w:rPr>
          <w:b/>
          <w:bCs/>
          <w:sz w:val="24"/>
          <w:szCs w:val="24"/>
        </w:rPr>
        <w:t>П</w:t>
      </w:r>
      <w:proofErr w:type="gramEnd"/>
      <w:r w:rsidRPr="00852DD6">
        <w:rPr>
          <w:b/>
          <w:bCs/>
          <w:sz w:val="24"/>
          <w:szCs w:val="24"/>
        </w:rPr>
        <w:t xml:space="preserve"> О С Т А Н О В Л Е Н И Е </w:t>
      </w:r>
    </w:p>
    <w:p w:rsidR="00852DD6" w:rsidRPr="00852DD6" w:rsidRDefault="00E105DD" w:rsidP="00852DD6">
      <w:pPr>
        <w:pStyle w:val="a9"/>
        <w:tabs>
          <w:tab w:val="clear" w:pos="4677"/>
          <w:tab w:val="clear" w:pos="9355"/>
        </w:tabs>
        <w:ind w:right="-142"/>
        <w:rPr>
          <w:sz w:val="26"/>
          <w:szCs w:val="26"/>
        </w:rPr>
      </w:pPr>
      <w:r>
        <w:rPr>
          <w:noProof/>
          <w:sz w:val="28"/>
          <w:lang w:eastAsia="ar-SA"/>
        </w:rPr>
        <w:pict>
          <v:line id="_x0000_s1026" style="position:absolute;z-index:251660288" from="0,11.35pt" to="468pt,11.35pt"/>
        </w:pict>
      </w:r>
      <w:r>
        <w:rPr>
          <w:noProof/>
          <w:sz w:val="28"/>
          <w:lang w:eastAsia="ar-SA"/>
        </w:rPr>
        <w:pict>
          <v:line id="_x0000_s1027" style="position:absolute;z-index:251661312" from="0,9.1pt" to="468pt,9.1pt"/>
        </w:pict>
      </w:r>
    </w:p>
    <w:p w:rsidR="00852DD6" w:rsidRPr="00852DD6" w:rsidRDefault="000A4F7E" w:rsidP="00852DD6">
      <w:pPr>
        <w:pStyle w:val="a9"/>
        <w:tabs>
          <w:tab w:val="clear" w:pos="4677"/>
          <w:tab w:val="clear" w:pos="9355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</w:rPr>
        <w:t>01.04</w:t>
      </w:r>
      <w:r w:rsidR="00852DD6" w:rsidRPr="00852DD6">
        <w:rPr>
          <w:sz w:val="28"/>
          <w:szCs w:val="28"/>
        </w:rPr>
        <w:t xml:space="preserve">.2020 г. </w:t>
      </w:r>
      <w:r w:rsidR="00852DD6" w:rsidRPr="00852DD6">
        <w:rPr>
          <w:sz w:val="28"/>
          <w:szCs w:val="28"/>
        </w:rPr>
        <w:tab/>
      </w:r>
      <w:r w:rsidR="00852DD6" w:rsidRPr="00852DD6">
        <w:rPr>
          <w:sz w:val="28"/>
          <w:szCs w:val="28"/>
        </w:rPr>
        <w:tab/>
      </w:r>
      <w:r w:rsidR="00852DD6" w:rsidRPr="00852DD6">
        <w:rPr>
          <w:sz w:val="28"/>
          <w:szCs w:val="28"/>
        </w:rPr>
        <w:tab/>
        <w:t xml:space="preserve">      п. Садовы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34</w:t>
      </w:r>
      <w:r w:rsidR="00852DD6" w:rsidRPr="00852DD6">
        <w:rPr>
          <w:sz w:val="28"/>
          <w:szCs w:val="28"/>
          <w:u w:val="single"/>
        </w:rPr>
        <w:t>-п</w:t>
      </w:r>
    </w:p>
    <w:p w:rsidR="00852DD6" w:rsidRPr="00852DD6" w:rsidRDefault="00852DD6" w:rsidP="00852DD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2DD6" w:rsidRDefault="00852DD6" w:rsidP="00852D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F7E" w:rsidRDefault="000A4F7E" w:rsidP="000A4F7E">
      <w:pPr>
        <w:pStyle w:val="1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 утверждении </w:t>
      </w:r>
      <w:r w:rsidRPr="00DB5B10">
        <w:rPr>
          <w:sz w:val="28"/>
        </w:rPr>
        <w:t xml:space="preserve">Порядка </w:t>
      </w:r>
      <w:r>
        <w:rPr>
          <w:sz w:val="28"/>
        </w:rPr>
        <w:t xml:space="preserve">предоставления </w:t>
      </w:r>
      <w:r w:rsidRPr="00DB5B10">
        <w:rPr>
          <w:sz w:val="28"/>
        </w:rPr>
        <w:t>иных межбюдж</w:t>
      </w:r>
      <w:r>
        <w:rPr>
          <w:sz w:val="28"/>
        </w:rPr>
        <w:t xml:space="preserve">етных трансфертов из бюджета муниципального образования </w:t>
      </w:r>
      <w:r>
        <w:rPr>
          <w:sz w:val="28"/>
        </w:rPr>
        <w:t>Садовый</w:t>
      </w:r>
      <w:r>
        <w:rPr>
          <w:sz w:val="28"/>
        </w:rPr>
        <w:t xml:space="preserve"> сельсовет в бюджет муниципального образования </w:t>
      </w:r>
      <w:r w:rsidRPr="00DB5B10">
        <w:rPr>
          <w:sz w:val="28"/>
        </w:rPr>
        <w:t>Переволоцкий  район</w:t>
      </w:r>
      <w:r>
        <w:rPr>
          <w:sz w:val="28"/>
        </w:rPr>
        <w:t xml:space="preserve"> Оренбургской области</w:t>
      </w:r>
      <w:r>
        <w:rPr>
          <w:sz w:val="28"/>
        </w:rPr>
        <w:t>»</w:t>
      </w:r>
    </w:p>
    <w:p w:rsidR="00852DD6" w:rsidRDefault="00852DD6" w:rsidP="009A0325">
      <w:pPr>
        <w:jc w:val="both"/>
        <w:rPr>
          <w:sz w:val="28"/>
          <w:szCs w:val="28"/>
        </w:rPr>
      </w:pPr>
    </w:p>
    <w:p w:rsidR="00852DD6" w:rsidRDefault="00852DD6" w:rsidP="009A0325">
      <w:pPr>
        <w:jc w:val="both"/>
        <w:rPr>
          <w:sz w:val="28"/>
          <w:szCs w:val="28"/>
        </w:rPr>
      </w:pPr>
    </w:p>
    <w:p w:rsidR="000A4F7E" w:rsidRPr="000A4F7E" w:rsidRDefault="00746B9E" w:rsidP="000A4F7E">
      <w:pPr>
        <w:jc w:val="both"/>
        <w:rPr>
          <w:sz w:val="28"/>
          <w:szCs w:val="28"/>
          <w:lang w:eastAsia="en-US"/>
        </w:rPr>
      </w:pPr>
      <w:r w:rsidRPr="00746B9E">
        <w:rPr>
          <w:bCs/>
          <w:color w:val="000000"/>
          <w:sz w:val="24"/>
          <w:szCs w:val="24"/>
        </w:rPr>
        <w:t xml:space="preserve">             </w:t>
      </w:r>
      <w:r w:rsidR="000A4F7E" w:rsidRPr="000A4F7E">
        <w:rPr>
          <w:sz w:val="28"/>
          <w:szCs w:val="28"/>
          <w:lang w:eastAsia="en-US"/>
        </w:rPr>
        <w:t>В соответствии со статьями 9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</w:t>
      </w:r>
      <w:r w:rsidR="000A4F7E">
        <w:rPr>
          <w:sz w:val="28"/>
          <w:szCs w:val="28"/>
          <w:lang w:eastAsia="en-US"/>
        </w:rPr>
        <w:t>водствуясь Уставом МО Садовый</w:t>
      </w:r>
      <w:r w:rsidR="000A4F7E" w:rsidRPr="000A4F7E">
        <w:rPr>
          <w:sz w:val="28"/>
          <w:szCs w:val="28"/>
          <w:lang w:eastAsia="en-US"/>
        </w:rPr>
        <w:t xml:space="preserve"> сельсовет Переволоцкого района Оренбургской области:</w:t>
      </w:r>
    </w:p>
    <w:p w:rsidR="00746B9E" w:rsidRPr="000A4F7E" w:rsidRDefault="000A4F7E" w:rsidP="000A4F7E">
      <w:pPr>
        <w:jc w:val="both"/>
        <w:rPr>
          <w:sz w:val="28"/>
          <w:szCs w:val="28"/>
          <w:lang w:eastAsia="en-US"/>
        </w:rPr>
      </w:pPr>
      <w:r w:rsidRPr="000A4F7E">
        <w:rPr>
          <w:sz w:val="28"/>
          <w:szCs w:val="28"/>
          <w:lang w:eastAsia="en-US"/>
        </w:rPr>
        <w:t xml:space="preserve">     1. Утвердить Порядок предоставления иных межбюджетных транс</w:t>
      </w:r>
      <w:r w:rsidR="00581469">
        <w:rPr>
          <w:sz w:val="28"/>
          <w:szCs w:val="28"/>
          <w:lang w:eastAsia="en-US"/>
        </w:rPr>
        <w:t xml:space="preserve">фертов </w:t>
      </w:r>
      <w:proofErr w:type="gramStart"/>
      <w:r w:rsidR="00581469">
        <w:rPr>
          <w:sz w:val="28"/>
          <w:szCs w:val="28"/>
          <w:lang w:eastAsia="en-US"/>
        </w:rPr>
        <w:t>из бюджета  МО Садовый</w:t>
      </w:r>
      <w:r w:rsidRPr="000A4F7E">
        <w:rPr>
          <w:sz w:val="28"/>
          <w:szCs w:val="28"/>
          <w:lang w:eastAsia="en-US"/>
        </w:rPr>
        <w:t xml:space="preserve"> сельсовет Переволоцкого района Оренбургской области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0A4F7E">
        <w:rPr>
          <w:sz w:val="28"/>
          <w:szCs w:val="28"/>
          <w:lang w:eastAsia="en-US"/>
        </w:rPr>
        <w:t xml:space="preserve"> в бюджет МО Переволоцкий район Оренбургской области, согласно приложения.</w:t>
      </w:r>
    </w:p>
    <w:p w:rsidR="00746B9E" w:rsidRPr="00746B9E" w:rsidRDefault="00220150" w:rsidP="00746B9E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46B9E" w:rsidRPr="00746B9E">
        <w:rPr>
          <w:bCs/>
          <w:color w:val="000000"/>
          <w:sz w:val="28"/>
          <w:szCs w:val="28"/>
        </w:rPr>
        <w:t>2.</w:t>
      </w:r>
      <w:r w:rsidR="00746B9E">
        <w:rPr>
          <w:bCs/>
          <w:color w:val="000000"/>
          <w:sz w:val="28"/>
          <w:szCs w:val="28"/>
        </w:rPr>
        <w:t xml:space="preserve"> </w:t>
      </w:r>
      <w:proofErr w:type="gramStart"/>
      <w:r w:rsidR="00746B9E" w:rsidRPr="00746B9E">
        <w:rPr>
          <w:sz w:val="28"/>
          <w:szCs w:val="28"/>
        </w:rPr>
        <w:t>Контроль за</w:t>
      </w:r>
      <w:proofErr w:type="gramEnd"/>
      <w:r w:rsidR="00746B9E" w:rsidRPr="00746B9E">
        <w:rPr>
          <w:sz w:val="28"/>
          <w:szCs w:val="28"/>
        </w:rPr>
        <w:t xml:space="preserve"> исполнением настоящего постановления </w:t>
      </w:r>
      <w:r w:rsidR="000A4F7E">
        <w:rPr>
          <w:sz w:val="28"/>
          <w:szCs w:val="28"/>
        </w:rPr>
        <w:t>возложить на специалиста 1 категории – бухгалтера администрации Смирнову И.В.</w:t>
      </w:r>
    </w:p>
    <w:p w:rsidR="00746B9E" w:rsidRPr="00746B9E" w:rsidRDefault="00746B9E" w:rsidP="00746B9E">
      <w:pPr>
        <w:shd w:val="clear" w:color="auto" w:fill="FFFFFF"/>
        <w:jc w:val="both"/>
        <w:outlineLvl w:val="2"/>
        <w:rPr>
          <w:sz w:val="28"/>
          <w:szCs w:val="28"/>
        </w:rPr>
      </w:pPr>
      <w:r w:rsidRPr="00746B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46B9E">
        <w:rPr>
          <w:sz w:val="28"/>
          <w:szCs w:val="28"/>
        </w:rPr>
        <w:t xml:space="preserve">3. Настоящее постановление вступает в силу со дня его подписания и распространяет свое действие  на правоотношения, возникшие при составлении и исполнении бюджета поселения, начиная с бюджета   на  </w:t>
      </w:r>
      <w:r w:rsidRPr="00746B9E">
        <w:rPr>
          <w:color w:val="000000"/>
          <w:sz w:val="28"/>
          <w:szCs w:val="28"/>
        </w:rPr>
        <w:t>2020 год и на плановый период 2021 и 2022 годов</w:t>
      </w:r>
      <w:r w:rsidRPr="00746B9E">
        <w:rPr>
          <w:sz w:val="28"/>
          <w:szCs w:val="28"/>
        </w:rPr>
        <w:t>.</w:t>
      </w:r>
    </w:p>
    <w:p w:rsidR="00746B9E" w:rsidRPr="00746B9E" w:rsidRDefault="00746B9E" w:rsidP="00746B9E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</w:p>
    <w:p w:rsidR="00746B9E" w:rsidRPr="00746B9E" w:rsidRDefault="00746B9E" w:rsidP="00746B9E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</w:p>
    <w:p w:rsidR="00746B9E" w:rsidRPr="00746B9E" w:rsidRDefault="00746B9E" w:rsidP="000A4F7E">
      <w:pPr>
        <w:ind w:right="140"/>
        <w:jc w:val="both"/>
        <w:rPr>
          <w:sz w:val="28"/>
          <w:szCs w:val="28"/>
        </w:rPr>
      </w:pPr>
      <w:r w:rsidRPr="00746B9E">
        <w:rPr>
          <w:sz w:val="28"/>
          <w:szCs w:val="28"/>
        </w:rPr>
        <w:t>Глава администрации</w:t>
      </w:r>
    </w:p>
    <w:p w:rsidR="00746B9E" w:rsidRPr="00746B9E" w:rsidRDefault="00746B9E" w:rsidP="000A4F7E">
      <w:pPr>
        <w:ind w:right="140"/>
        <w:jc w:val="both"/>
        <w:rPr>
          <w:sz w:val="28"/>
          <w:szCs w:val="28"/>
        </w:rPr>
      </w:pPr>
      <w:r w:rsidRPr="00746B9E">
        <w:rPr>
          <w:sz w:val="28"/>
          <w:szCs w:val="28"/>
        </w:rPr>
        <w:t xml:space="preserve">МО Садовый сельсовет                                                      </w:t>
      </w:r>
      <w:r>
        <w:rPr>
          <w:sz w:val="28"/>
          <w:szCs w:val="28"/>
        </w:rPr>
        <w:t xml:space="preserve">    </w:t>
      </w:r>
      <w:r w:rsidRPr="00746B9E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746B9E">
        <w:rPr>
          <w:sz w:val="28"/>
          <w:szCs w:val="28"/>
        </w:rPr>
        <w:t>Иванов</w:t>
      </w:r>
    </w:p>
    <w:p w:rsidR="00746B9E" w:rsidRPr="00746B9E" w:rsidRDefault="00746B9E" w:rsidP="00746B9E">
      <w:pPr>
        <w:spacing w:line="360" w:lineRule="auto"/>
        <w:ind w:right="140"/>
        <w:jc w:val="both"/>
        <w:rPr>
          <w:noProof/>
          <w:sz w:val="24"/>
          <w:szCs w:val="24"/>
        </w:rPr>
      </w:pPr>
    </w:p>
    <w:p w:rsidR="00746B9E" w:rsidRPr="00746B9E" w:rsidRDefault="00746B9E" w:rsidP="00746B9E">
      <w:pPr>
        <w:spacing w:line="360" w:lineRule="auto"/>
        <w:ind w:right="140"/>
        <w:jc w:val="both"/>
        <w:rPr>
          <w:noProof/>
          <w:sz w:val="24"/>
          <w:szCs w:val="24"/>
        </w:rPr>
      </w:pPr>
    </w:p>
    <w:p w:rsidR="000A4F7E" w:rsidRDefault="000A4F7E" w:rsidP="00746B9E">
      <w:pPr>
        <w:spacing w:line="360" w:lineRule="auto"/>
        <w:ind w:right="140"/>
        <w:jc w:val="both"/>
        <w:rPr>
          <w:noProof/>
          <w:sz w:val="28"/>
          <w:szCs w:val="28"/>
        </w:rPr>
      </w:pPr>
    </w:p>
    <w:p w:rsidR="000A4F7E" w:rsidRDefault="000A4F7E" w:rsidP="00746B9E">
      <w:pPr>
        <w:spacing w:line="360" w:lineRule="auto"/>
        <w:ind w:right="140"/>
        <w:jc w:val="both"/>
        <w:rPr>
          <w:noProof/>
          <w:sz w:val="28"/>
          <w:szCs w:val="28"/>
        </w:rPr>
      </w:pPr>
    </w:p>
    <w:p w:rsidR="000A4F7E" w:rsidRDefault="000A4F7E" w:rsidP="00746B9E">
      <w:pPr>
        <w:spacing w:line="360" w:lineRule="auto"/>
        <w:ind w:right="140"/>
        <w:jc w:val="both"/>
        <w:rPr>
          <w:noProof/>
          <w:sz w:val="28"/>
          <w:szCs w:val="28"/>
        </w:rPr>
      </w:pPr>
    </w:p>
    <w:p w:rsidR="000A4F7E" w:rsidRDefault="000A4F7E" w:rsidP="000A4F7E">
      <w:pPr>
        <w:ind w:right="140"/>
        <w:jc w:val="both"/>
        <w:rPr>
          <w:noProof/>
          <w:sz w:val="28"/>
          <w:szCs w:val="28"/>
        </w:rPr>
      </w:pPr>
    </w:p>
    <w:p w:rsidR="000A4F7E" w:rsidRDefault="000A4F7E" w:rsidP="000A4F7E">
      <w:pPr>
        <w:ind w:right="140"/>
        <w:jc w:val="both"/>
        <w:rPr>
          <w:noProof/>
          <w:sz w:val="28"/>
          <w:szCs w:val="28"/>
        </w:rPr>
      </w:pPr>
    </w:p>
    <w:p w:rsidR="00D01AF1" w:rsidRDefault="00746B9E" w:rsidP="000A4F7E">
      <w:pPr>
        <w:ind w:right="140"/>
        <w:jc w:val="both"/>
        <w:rPr>
          <w:noProof/>
          <w:sz w:val="28"/>
          <w:szCs w:val="28"/>
        </w:rPr>
      </w:pPr>
      <w:r w:rsidRPr="00746B9E">
        <w:rPr>
          <w:noProof/>
          <w:sz w:val="28"/>
          <w:szCs w:val="28"/>
        </w:rPr>
        <w:t>Разослано</w:t>
      </w:r>
      <w:r w:rsidR="00581469">
        <w:rPr>
          <w:noProof/>
          <w:sz w:val="28"/>
          <w:szCs w:val="28"/>
        </w:rPr>
        <w:t>: РАЙФО</w:t>
      </w:r>
      <w:r w:rsidRPr="00746B9E">
        <w:rPr>
          <w:noProof/>
          <w:sz w:val="28"/>
          <w:szCs w:val="28"/>
        </w:rPr>
        <w:t>, в дело, прокурору</w:t>
      </w:r>
      <w:bookmarkStart w:id="0" w:name="Par1"/>
      <w:bookmarkStart w:id="1" w:name="Par27"/>
      <w:bookmarkEnd w:id="0"/>
      <w:bookmarkEnd w:id="1"/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Pr="00581469" w:rsidRDefault="00581469" w:rsidP="00581469">
      <w:pPr>
        <w:jc w:val="right"/>
        <w:rPr>
          <w:bCs/>
          <w:sz w:val="28"/>
          <w:szCs w:val="28"/>
        </w:rPr>
      </w:pPr>
      <w:r w:rsidRPr="00581469">
        <w:rPr>
          <w:bCs/>
          <w:sz w:val="28"/>
          <w:szCs w:val="28"/>
        </w:rPr>
        <w:t>Приложение</w:t>
      </w:r>
    </w:p>
    <w:p w:rsidR="00581469" w:rsidRPr="00581469" w:rsidRDefault="00581469" w:rsidP="00581469">
      <w:pPr>
        <w:jc w:val="right"/>
        <w:rPr>
          <w:bCs/>
          <w:sz w:val="28"/>
          <w:szCs w:val="28"/>
        </w:rPr>
      </w:pPr>
      <w:r w:rsidRPr="00581469">
        <w:rPr>
          <w:bCs/>
          <w:sz w:val="28"/>
          <w:szCs w:val="28"/>
        </w:rPr>
        <w:t xml:space="preserve">к постановлению </w:t>
      </w:r>
    </w:p>
    <w:p w:rsidR="00581469" w:rsidRDefault="00581469" w:rsidP="00581469">
      <w:pPr>
        <w:jc w:val="right"/>
        <w:rPr>
          <w:bCs/>
          <w:sz w:val="28"/>
          <w:szCs w:val="28"/>
        </w:rPr>
      </w:pPr>
      <w:r w:rsidRPr="00581469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 </w:t>
      </w:r>
      <w:r w:rsidRPr="00581469">
        <w:rPr>
          <w:bCs/>
          <w:sz w:val="28"/>
          <w:szCs w:val="28"/>
        </w:rPr>
        <w:t xml:space="preserve">Садовый сельсовет </w:t>
      </w:r>
    </w:p>
    <w:p w:rsidR="00581469" w:rsidRPr="00581469" w:rsidRDefault="00581469" w:rsidP="00581469">
      <w:pPr>
        <w:jc w:val="right"/>
        <w:rPr>
          <w:bCs/>
          <w:sz w:val="28"/>
          <w:szCs w:val="28"/>
        </w:rPr>
      </w:pPr>
      <w:r w:rsidRPr="00581469">
        <w:rPr>
          <w:bCs/>
          <w:sz w:val="28"/>
          <w:szCs w:val="28"/>
        </w:rPr>
        <w:t>Переволоцкого района Оренбургской области</w:t>
      </w:r>
    </w:p>
    <w:p w:rsidR="00581469" w:rsidRPr="00581469" w:rsidRDefault="00581469" w:rsidP="00581469">
      <w:pPr>
        <w:jc w:val="right"/>
        <w:rPr>
          <w:bCs/>
          <w:sz w:val="28"/>
          <w:szCs w:val="28"/>
        </w:rPr>
      </w:pPr>
      <w:r w:rsidRPr="00581469">
        <w:rPr>
          <w:sz w:val="28"/>
          <w:szCs w:val="28"/>
        </w:rPr>
        <w:t xml:space="preserve">от </w:t>
      </w:r>
      <w:r>
        <w:rPr>
          <w:sz w:val="28"/>
          <w:szCs w:val="28"/>
        </w:rPr>
        <w:t>01.04</w:t>
      </w:r>
      <w:r w:rsidRPr="00581469">
        <w:rPr>
          <w:sz w:val="28"/>
          <w:szCs w:val="28"/>
        </w:rPr>
        <w:t xml:space="preserve">.2020 № </w:t>
      </w:r>
      <w:r>
        <w:rPr>
          <w:sz w:val="28"/>
          <w:szCs w:val="28"/>
        </w:rPr>
        <w:t>34</w:t>
      </w:r>
      <w:r w:rsidRPr="00581469">
        <w:rPr>
          <w:sz w:val="28"/>
          <w:szCs w:val="28"/>
        </w:rPr>
        <w:t>-</w:t>
      </w:r>
      <w:r w:rsidRPr="00581469">
        <w:rPr>
          <w:sz w:val="28"/>
          <w:szCs w:val="28"/>
          <w:u w:val="single"/>
        </w:rPr>
        <w:t>п</w:t>
      </w:r>
    </w:p>
    <w:p w:rsidR="000A4F7E" w:rsidRPr="000A4F7E" w:rsidRDefault="000A4F7E" w:rsidP="000A4F7E">
      <w:pPr>
        <w:jc w:val="right"/>
        <w:rPr>
          <w:sz w:val="28"/>
          <w:szCs w:val="28"/>
        </w:rPr>
      </w:pPr>
    </w:p>
    <w:p w:rsidR="00581469" w:rsidRDefault="00581469" w:rsidP="00581469">
      <w:pPr>
        <w:jc w:val="right"/>
        <w:rPr>
          <w:b/>
          <w:sz w:val="28"/>
          <w:szCs w:val="28"/>
        </w:rPr>
      </w:pPr>
    </w:p>
    <w:p w:rsidR="00581469" w:rsidRDefault="00581469" w:rsidP="000A4F7E">
      <w:pPr>
        <w:jc w:val="center"/>
        <w:rPr>
          <w:b/>
          <w:sz w:val="28"/>
          <w:szCs w:val="28"/>
        </w:rPr>
      </w:pP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  <w:r w:rsidRPr="000A4F7E">
        <w:rPr>
          <w:b/>
          <w:sz w:val="28"/>
          <w:szCs w:val="28"/>
        </w:rPr>
        <w:t>Порядок предоставления иных межбюджетных трансфертов на осуществление</w:t>
      </w: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  <w:r w:rsidRPr="000A4F7E">
        <w:rPr>
          <w:b/>
          <w:sz w:val="28"/>
          <w:szCs w:val="28"/>
        </w:rPr>
        <w:t>части полномочий по решению вопросов местного значения в соответствии с заключенными соглашениями из бюджета МО</w:t>
      </w:r>
      <w:r w:rsidR="00581469">
        <w:rPr>
          <w:b/>
          <w:sz w:val="28"/>
          <w:szCs w:val="28"/>
        </w:rPr>
        <w:t xml:space="preserve"> Садовый</w:t>
      </w:r>
      <w:r w:rsidRPr="000A4F7E">
        <w:rPr>
          <w:b/>
          <w:sz w:val="28"/>
          <w:szCs w:val="28"/>
        </w:rPr>
        <w:t xml:space="preserve"> сельсовет  бюджету МО Переволоцкий район Оренбургской области</w:t>
      </w: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  <w:r w:rsidRPr="000A4F7E">
        <w:rPr>
          <w:b/>
          <w:sz w:val="28"/>
          <w:szCs w:val="28"/>
        </w:rPr>
        <w:t>1</w:t>
      </w:r>
      <w:r w:rsidR="00900CA8">
        <w:rPr>
          <w:b/>
          <w:sz w:val="28"/>
          <w:szCs w:val="28"/>
        </w:rPr>
        <w:t>.</w:t>
      </w:r>
      <w:r w:rsidRPr="000A4F7E">
        <w:rPr>
          <w:b/>
          <w:sz w:val="28"/>
          <w:szCs w:val="28"/>
        </w:rPr>
        <w:t>Общие положения</w:t>
      </w: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 xml:space="preserve">1.1. </w:t>
      </w:r>
      <w:proofErr w:type="gramStart"/>
      <w:r w:rsidRPr="000A4F7E">
        <w:rPr>
          <w:sz w:val="28"/>
          <w:szCs w:val="28"/>
        </w:rPr>
        <w:t>Настоящий порядок разработан в соответствии со статьями 9 и 142.5 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</w:t>
      </w:r>
      <w:r w:rsidR="00581469">
        <w:rPr>
          <w:sz w:val="28"/>
          <w:szCs w:val="28"/>
        </w:rPr>
        <w:t>рации»,  Уставом Садов</w:t>
      </w:r>
      <w:r w:rsidRPr="000A4F7E">
        <w:rPr>
          <w:sz w:val="28"/>
          <w:szCs w:val="28"/>
        </w:rPr>
        <w:t>ого сельсовета в целях установления случаев и порядка предоставления иных межбюджетных трансфертов из бюджета МО</w:t>
      </w:r>
      <w:r w:rsidR="00581469">
        <w:rPr>
          <w:sz w:val="28"/>
          <w:szCs w:val="28"/>
        </w:rPr>
        <w:t xml:space="preserve"> Садовый</w:t>
      </w:r>
      <w:r w:rsidRPr="000A4F7E">
        <w:rPr>
          <w:sz w:val="28"/>
          <w:szCs w:val="28"/>
        </w:rPr>
        <w:t xml:space="preserve"> сельсовет в бюджет МО Переволоцкий район Оренбургской области</w:t>
      </w:r>
      <w:proofErr w:type="gramEnd"/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>1.2. Иные межбюджетные трансферты предусматриваются в составе бюджета муниц</w:t>
      </w:r>
      <w:r w:rsidR="00581469">
        <w:rPr>
          <w:sz w:val="28"/>
          <w:szCs w:val="28"/>
        </w:rPr>
        <w:t>ипального образования Садовый</w:t>
      </w:r>
      <w:r w:rsidRPr="000A4F7E">
        <w:rPr>
          <w:sz w:val="28"/>
          <w:szCs w:val="28"/>
        </w:rPr>
        <w:t xml:space="preserve"> сельсовет в целях передачи органам местного самоуправления муниципального образования  Переволоцкий район осуществления части полномочий по вопросам местного значения.</w:t>
      </w: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0A4F7E" w:rsidRPr="000A4F7E" w:rsidRDefault="000A4F7E" w:rsidP="00581469">
      <w:pPr>
        <w:jc w:val="both"/>
        <w:rPr>
          <w:sz w:val="28"/>
          <w:szCs w:val="28"/>
        </w:rPr>
      </w:pPr>
    </w:p>
    <w:p w:rsidR="000A4F7E" w:rsidRPr="000A4F7E" w:rsidRDefault="00900CA8" w:rsidP="0058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A4F7E" w:rsidRPr="000A4F7E">
        <w:rPr>
          <w:b/>
          <w:sz w:val="28"/>
          <w:szCs w:val="28"/>
        </w:rPr>
        <w:t>Порядок и условия предоставления иных межбюджетных трансфертов</w:t>
      </w:r>
    </w:p>
    <w:p w:rsidR="000A4F7E" w:rsidRPr="000A4F7E" w:rsidRDefault="000A4F7E" w:rsidP="00581469">
      <w:pPr>
        <w:jc w:val="center"/>
        <w:rPr>
          <w:sz w:val="28"/>
          <w:szCs w:val="28"/>
        </w:rPr>
      </w:pP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 xml:space="preserve"> 2.1. Основаниями предоставления иных межбюджетных трансфертов из бюджета МО</w:t>
      </w:r>
      <w:r w:rsidR="00900CA8">
        <w:rPr>
          <w:sz w:val="28"/>
          <w:szCs w:val="28"/>
        </w:rPr>
        <w:t xml:space="preserve">  Садовы</w:t>
      </w:r>
      <w:r w:rsidRPr="000A4F7E">
        <w:rPr>
          <w:sz w:val="28"/>
          <w:szCs w:val="28"/>
        </w:rPr>
        <w:t>й сельсовет бюджету  МО  Переволоцкий район являются:</w:t>
      </w:r>
    </w:p>
    <w:p w:rsidR="000A4F7E" w:rsidRPr="000A4F7E" w:rsidRDefault="00900CA8" w:rsidP="0022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Принятие соответствующего</w:t>
      </w:r>
      <w:r w:rsidR="000A4F7E" w:rsidRPr="000A4F7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Совета депутатов МО Садовый</w:t>
      </w:r>
      <w:r w:rsidR="000A4F7E" w:rsidRPr="000A4F7E">
        <w:rPr>
          <w:sz w:val="28"/>
          <w:szCs w:val="28"/>
        </w:rPr>
        <w:t xml:space="preserve"> сельсовет о передаче части полномочий;</w:t>
      </w: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>2.1.2. Заключение соглашения между  МО</w:t>
      </w:r>
      <w:r w:rsidR="00900CA8">
        <w:rPr>
          <w:sz w:val="28"/>
          <w:szCs w:val="28"/>
        </w:rPr>
        <w:t xml:space="preserve">  Садовый</w:t>
      </w:r>
      <w:r w:rsidRPr="000A4F7E">
        <w:rPr>
          <w:sz w:val="28"/>
          <w:szCs w:val="28"/>
        </w:rPr>
        <w:t xml:space="preserve"> сельсовет и МО   Переволоцкий район о передаче части полномочий по вопросам местного значения.</w:t>
      </w:r>
    </w:p>
    <w:p w:rsidR="000A4F7E" w:rsidRPr="000A4F7E" w:rsidRDefault="000A4F7E" w:rsidP="00220150">
      <w:pPr>
        <w:ind w:firstLine="851"/>
        <w:jc w:val="both"/>
        <w:rPr>
          <w:sz w:val="28"/>
          <w:szCs w:val="28"/>
        </w:rPr>
      </w:pPr>
      <w:r w:rsidRPr="000A4F7E">
        <w:rPr>
          <w:sz w:val="28"/>
          <w:szCs w:val="28"/>
        </w:rPr>
        <w:lastRenderedPageBreak/>
        <w:t>2.2. Объем средств и целевое назначение иных межбюджетных трансфертов утверждаются решением Совета депутатов МО</w:t>
      </w:r>
      <w:r w:rsidR="00900CA8">
        <w:rPr>
          <w:sz w:val="28"/>
          <w:szCs w:val="28"/>
        </w:rPr>
        <w:t xml:space="preserve"> Садовый</w:t>
      </w:r>
      <w:r w:rsidRPr="000A4F7E">
        <w:rPr>
          <w:sz w:val="28"/>
          <w:szCs w:val="28"/>
        </w:rPr>
        <w:t xml:space="preserve"> сельсовет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0A4F7E" w:rsidRPr="000A4F7E" w:rsidRDefault="000A4F7E" w:rsidP="00220150">
      <w:pPr>
        <w:ind w:firstLine="851"/>
        <w:jc w:val="both"/>
        <w:rPr>
          <w:sz w:val="28"/>
          <w:szCs w:val="28"/>
        </w:rPr>
      </w:pPr>
      <w:r w:rsidRPr="000A4F7E">
        <w:rPr>
          <w:sz w:val="28"/>
          <w:szCs w:val="28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0A4F7E" w:rsidRPr="000A4F7E" w:rsidRDefault="000A4F7E" w:rsidP="00220150">
      <w:pPr>
        <w:ind w:firstLine="851"/>
        <w:jc w:val="both"/>
        <w:rPr>
          <w:b/>
          <w:sz w:val="28"/>
          <w:szCs w:val="28"/>
        </w:rPr>
      </w:pPr>
      <w:r w:rsidRPr="000A4F7E">
        <w:rPr>
          <w:sz w:val="28"/>
          <w:szCs w:val="28"/>
        </w:rPr>
        <w:t>2.4. Иные межбюджетные трансферты, передаваемые бюджету МО Переволоцкий район, учитываются МО Переволоцкий район в составе доходов согласно бюджетной классификации, а также направляются и расходуются по целевому назначению</w:t>
      </w:r>
    </w:p>
    <w:p w:rsidR="000A4F7E" w:rsidRPr="000A4F7E" w:rsidRDefault="000A4F7E" w:rsidP="00581469">
      <w:pPr>
        <w:jc w:val="both"/>
        <w:rPr>
          <w:b/>
          <w:sz w:val="28"/>
          <w:szCs w:val="28"/>
        </w:rPr>
      </w:pP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0A4F7E" w:rsidRPr="000A4F7E" w:rsidRDefault="00900CA8" w:rsidP="000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 w:rsidR="000A4F7E" w:rsidRPr="000A4F7E">
        <w:rPr>
          <w:b/>
          <w:sz w:val="28"/>
          <w:szCs w:val="28"/>
        </w:rPr>
        <w:t>Контроль за</w:t>
      </w:r>
      <w:proofErr w:type="gramEnd"/>
      <w:r w:rsidR="000A4F7E" w:rsidRPr="000A4F7E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 xml:space="preserve">3.1. </w:t>
      </w:r>
      <w:proofErr w:type="gramStart"/>
      <w:r w:rsidRPr="000A4F7E">
        <w:rPr>
          <w:sz w:val="28"/>
          <w:szCs w:val="28"/>
        </w:rPr>
        <w:t>Контроль за</w:t>
      </w:r>
      <w:proofErr w:type="gramEnd"/>
      <w:r w:rsidRPr="000A4F7E">
        <w:rPr>
          <w:sz w:val="28"/>
          <w:szCs w:val="28"/>
        </w:rPr>
        <w:t xml:space="preserve"> использованием иных межбюджетных трансфертов, предоставленных бюджету МО Переволоцкий район, осуществляется путем предоставления администрацией МО Переволоцкий ра</w:t>
      </w:r>
      <w:r w:rsidR="00900CA8">
        <w:rPr>
          <w:sz w:val="28"/>
          <w:szCs w:val="28"/>
        </w:rPr>
        <w:t>йон  администрации МО Садовый</w:t>
      </w:r>
      <w:r w:rsidRPr="000A4F7E">
        <w:rPr>
          <w:sz w:val="28"/>
          <w:szCs w:val="28"/>
        </w:rPr>
        <w:t xml:space="preserve">  сельсовет  отчетов об использовании финансовых средств. Отчет предоставляется ежеквартально, не позднее 15-го числа месяца, следующего за </w:t>
      </w:r>
      <w:proofErr w:type="gramStart"/>
      <w:r w:rsidRPr="000A4F7E">
        <w:rPr>
          <w:sz w:val="28"/>
          <w:szCs w:val="28"/>
        </w:rPr>
        <w:t>отчетным</w:t>
      </w:r>
      <w:proofErr w:type="gramEnd"/>
      <w:r w:rsidRPr="000A4F7E">
        <w:rPr>
          <w:sz w:val="28"/>
          <w:szCs w:val="28"/>
        </w:rPr>
        <w:t xml:space="preserve"> и  по форме, согласно приложению к настоящему порядку.</w:t>
      </w: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 xml:space="preserve">3.2.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 xml:space="preserve">3.3. За нецелевое использование иных межбюджетных трансфертов МО Переволоцкий  район несет ответственность в соответствии с законодательством Российской Федерации. </w:t>
      </w:r>
    </w:p>
    <w:p w:rsidR="000A4F7E" w:rsidRPr="000A4F7E" w:rsidRDefault="000A4F7E" w:rsidP="00220150">
      <w:pPr>
        <w:ind w:firstLine="709"/>
        <w:jc w:val="both"/>
        <w:rPr>
          <w:sz w:val="28"/>
          <w:szCs w:val="28"/>
        </w:rPr>
      </w:pPr>
      <w:r w:rsidRPr="000A4F7E">
        <w:rPr>
          <w:sz w:val="28"/>
          <w:szCs w:val="28"/>
        </w:rPr>
        <w:t>3.4. Не использованные МО Переволоцкий район иные межбюджетные тра</w:t>
      </w:r>
      <w:r w:rsidR="00900CA8">
        <w:rPr>
          <w:sz w:val="28"/>
          <w:szCs w:val="28"/>
        </w:rPr>
        <w:t>нсферты из бюджета МО Садовый</w:t>
      </w:r>
      <w:r w:rsidRPr="000A4F7E">
        <w:rPr>
          <w:sz w:val="28"/>
          <w:szCs w:val="28"/>
        </w:rPr>
        <w:t xml:space="preserve"> сельсовет подлежат возврату в бюджет сельского поселения в сроки, установленные соглашением. </w:t>
      </w: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  <w:bookmarkStart w:id="2" w:name="_GoBack"/>
      <w:bookmarkEnd w:id="2"/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581469" w:rsidRDefault="00581469" w:rsidP="000A4F7E">
      <w:pPr>
        <w:jc w:val="right"/>
        <w:rPr>
          <w:sz w:val="28"/>
          <w:szCs w:val="28"/>
        </w:rPr>
      </w:pPr>
    </w:p>
    <w:p w:rsidR="00220150" w:rsidRDefault="00220150" w:rsidP="00220150">
      <w:pPr>
        <w:rPr>
          <w:sz w:val="28"/>
          <w:szCs w:val="28"/>
        </w:rPr>
      </w:pPr>
    </w:p>
    <w:p w:rsidR="00220150" w:rsidRDefault="00220150" w:rsidP="00220150">
      <w:pPr>
        <w:rPr>
          <w:sz w:val="28"/>
          <w:szCs w:val="28"/>
        </w:rPr>
      </w:pPr>
    </w:p>
    <w:p w:rsidR="000A4F7E" w:rsidRPr="000A4F7E" w:rsidRDefault="000A4F7E" w:rsidP="00220150">
      <w:pPr>
        <w:jc w:val="center"/>
        <w:rPr>
          <w:b/>
          <w:sz w:val="28"/>
          <w:szCs w:val="28"/>
        </w:rPr>
      </w:pPr>
      <w:r w:rsidRPr="000A4F7E">
        <w:rPr>
          <w:b/>
          <w:sz w:val="28"/>
          <w:szCs w:val="28"/>
        </w:rPr>
        <w:t>ОТЧЕТ</w:t>
      </w:r>
    </w:p>
    <w:p w:rsidR="000A4F7E" w:rsidRPr="000A4F7E" w:rsidRDefault="000A4F7E" w:rsidP="00900CA8">
      <w:pPr>
        <w:jc w:val="center"/>
        <w:rPr>
          <w:b/>
          <w:sz w:val="28"/>
          <w:szCs w:val="28"/>
        </w:rPr>
      </w:pPr>
      <w:r w:rsidRPr="000A4F7E">
        <w:rPr>
          <w:b/>
          <w:sz w:val="28"/>
          <w:szCs w:val="28"/>
        </w:rPr>
        <w:t>о расходовании иных межбюджетных трансфертов, перед</w:t>
      </w:r>
      <w:r w:rsidR="00900CA8">
        <w:rPr>
          <w:b/>
          <w:sz w:val="28"/>
          <w:szCs w:val="28"/>
        </w:rPr>
        <w:t>аваемых из бюджета МО Садовый</w:t>
      </w:r>
      <w:r w:rsidRPr="000A4F7E">
        <w:rPr>
          <w:b/>
          <w:sz w:val="28"/>
          <w:szCs w:val="28"/>
        </w:rPr>
        <w:t xml:space="preserve"> сельсовет   на осуществление части полномочий по решению вопросов местного значения в соответствии с заключенными соглашениями бюджету МО Переволоцкий район</w:t>
      </w:r>
    </w:p>
    <w:p w:rsidR="000A4F7E" w:rsidRPr="000A4F7E" w:rsidRDefault="000A4F7E" w:rsidP="00900CA8">
      <w:pPr>
        <w:jc w:val="center"/>
        <w:rPr>
          <w:b/>
          <w:sz w:val="28"/>
          <w:szCs w:val="28"/>
        </w:rPr>
      </w:pPr>
      <w:r w:rsidRPr="000A4F7E">
        <w:rPr>
          <w:b/>
          <w:sz w:val="28"/>
          <w:szCs w:val="28"/>
        </w:rPr>
        <w:t>На _____________________________20____г.</w:t>
      </w:r>
    </w:p>
    <w:p w:rsidR="000A4F7E" w:rsidRPr="000A4F7E" w:rsidRDefault="000A4F7E" w:rsidP="00900CA8">
      <w:pPr>
        <w:jc w:val="both"/>
        <w:rPr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8"/>
        <w:gridCol w:w="1134"/>
        <w:gridCol w:w="1559"/>
        <w:gridCol w:w="1843"/>
        <w:gridCol w:w="1701"/>
      </w:tblGrid>
      <w:tr w:rsidR="00900CA8" w:rsidRPr="000A4F7E" w:rsidTr="00900CA8">
        <w:trPr>
          <w:trHeight w:val="1023"/>
        </w:trPr>
        <w:tc>
          <w:tcPr>
            <w:tcW w:w="1985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Дата, номер соглашения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A4F7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0A4F7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Код</w:t>
            </w:r>
          </w:p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hyperlink r:id="rId9" w:tooltip="Бюджетная классификация" w:history="1">
              <w:r w:rsidRPr="000A4F7E">
                <w:rPr>
                  <w:bCs/>
                  <w:sz w:val="16"/>
                  <w:szCs w:val="16"/>
                  <w:bdr w:val="none" w:sz="0" w:space="0" w:color="auto" w:frame="1"/>
                </w:rPr>
                <w:t>бюджетной классификации</w:t>
              </w:r>
            </w:hyperlink>
          </w:p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A4F7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A4F7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A4F7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F7E" w:rsidRPr="000A4F7E" w:rsidRDefault="000A4F7E" w:rsidP="00900CA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A4F7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900CA8" w:rsidRPr="000A4F7E" w:rsidTr="00900CA8">
        <w:trPr>
          <w:trHeight w:val="246"/>
        </w:trPr>
        <w:tc>
          <w:tcPr>
            <w:tcW w:w="1985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900CA8" w:rsidRPr="000A4F7E" w:rsidTr="00900CA8">
        <w:trPr>
          <w:trHeight w:val="246"/>
        </w:trPr>
        <w:tc>
          <w:tcPr>
            <w:tcW w:w="1985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00CA8" w:rsidRPr="000A4F7E" w:rsidTr="00900CA8">
        <w:trPr>
          <w:trHeight w:val="246"/>
        </w:trPr>
        <w:tc>
          <w:tcPr>
            <w:tcW w:w="1985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00CA8" w:rsidRPr="000A4F7E" w:rsidTr="00900CA8">
        <w:trPr>
          <w:trHeight w:val="246"/>
        </w:trPr>
        <w:tc>
          <w:tcPr>
            <w:tcW w:w="1985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00CA8" w:rsidRPr="000A4F7E" w:rsidTr="00900CA8">
        <w:trPr>
          <w:trHeight w:val="246"/>
        </w:trPr>
        <w:tc>
          <w:tcPr>
            <w:tcW w:w="1985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0A4F7E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A4F7E" w:rsidRPr="000A4F7E" w:rsidRDefault="000A4F7E" w:rsidP="0090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0A4F7E" w:rsidRPr="000A4F7E" w:rsidRDefault="000A4F7E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A4F7E" w:rsidRPr="000A4F7E" w:rsidRDefault="000A4F7E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00CA8" w:rsidRDefault="00900CA8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A4F7E" w:rsidRPr="000A4F7E" w:rsidRDefault="000A4F7E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A4F7E">
        <w:rPr>
          <w:rFonts w:eastAsia="Calibri"/>
          <w:sz w:val="24"/>
          <w:szCs w:val="24"/>
        </w:rPr>
        <w:t>Руководитель ___________________________ _____________________________</w:t>
      </w:r>
    </w:p>
    <w:p w:rsidR="000A4F7E" w:rsidRPr="000A4F7E" w:rsidRDefault="00900CA8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</w:t>
      </w:r>
      <w:r w:rsidR="000A4F7E" w:rsidRPr="000A4F7E">
        <w:rPr>
          <w:rFonts w:eastAsia="Calibri"/>
          <w:sz w:val="24"/>
          <w:szCs w:val="24"/>
        </w:rPr>
        <w:t>(подпись)                                   (Расшифровка подписи)</w:t>
      </w:r>
    </w:p>
    <w:p w:rsidR="00900CA8" w:rsidRDefault="00900CA8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A4F7E" w:rsidRPr="000A4F7E" w:rsidRDefault="000A4F7E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A4F7E">
        <w:rPr>
          <w:rFonts w:eastAsia="Calibri"/>
          <w:sz w:val="24"/>
          <w:szCs w:val="24"/>
        </w:rPr>
        <w:t>Главный бухгалтер ___________________________ _____________________________</w:t>
      </w:r>
    </w:p>
    <w:p w:rsidR="000A4F7E" w:rsidRPr="000A4F7E" w:rsidRDefault="00900CA8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</w:t>
      </w:r>
      <w:r w:rsidR="000A4F7E" w:rsidRPr="000A4F7E">
        <w:rPr>
          <w:rFonts w:eastAsia="Calibri"/>
          <w:sz w:val="24"/>
          <w:szCs w:val="24"/>
        </w:rPr>
        <w:t>(подпись)                                 (Расшифровка подписи)</w:t>
      </w:r>
    </w:p>
    <w:p w:rsidR="00900CA8" w:rsidRDefault="00900CA8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A4F7E" w:rsidRDefault="000A4F7E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A4F7E">
        <w:rPr>
          <w:rFonts w:eastAsia="Calibri"/>
          <w:sz w:val="24"/>
          <w:szCs w:val="24"/>
        </w:rPr>
        <w:t>Исполнитель: ФИО, телефон</w:t>
      </w:r>
    </w:p>
    <w:p w:rsidR="00900CA8" w:rsidRPr="000A4F7E" w:rsidRDefault="00900CA8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A4F7E" w:rsidRPr="000A4F7E" w:rsidRDefault="000A4F7E" w:rsidP="00900CA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A4F7E">
        <w:rPr>
          <w:rFonts w:eastAsia="Calibri"/>
          <w:sz w:val="24"/>
          <w:szCs w:val="24"/>
        </w:rPr>
        <w:t>«___»__________________20____г.</w:t>
      </w: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0A4F7E" w:rsidRPr="000A4F7E" w:rsidRDefault="000A4F7E" w:rsidP="000A4F7E">
      <w:pPr>
        <w:jc w:val="center"/>
        <w:rPr>
          <w:b/>
          <w:sz w:val="28"/>
          <w:szCs w:val="28"/>
        </w:rPr>
      </w:pPr>
    </w:p>
    <w:p w:rsidR="000A4F7E" w:rsidRPr="000A4F7E" w:rsidRDefault="000A4F7E" w:rsidP="000A4F7E">
      <w:pPr>
        <w:jc w:val="center"/>
        <w:rPr>
          <w:sz w:val="24"/>
          <w:szCs w:val="24"/>
        </w:rPr>
      </w:pPr>
    </w:p>
    <w:p w:rsidR="000A4F7E" w:rsidRPr="000A4F7E" w:rsidRDefault="000A4F7E" w:rsidP="000A4F7E">
      <w:pPr>
        <w:jc w:val="center"/>
        <w:rPr>
          <w:sz w:val="24"/>
          <w:szCs w:val="24"/>
        </w:rPr>
      </w:pPr>
    </w:p>
    <w:p w:rsidR="000A4F7E" w:rsidRPr="000A4F7E" w:rsidRDefault="000A4F7E" w:rsidP="000A4F7E">
      <w:pPr>
        <w:rPr>
          <w:sz w:val="24"/>
          <w:szCs w:val="24"/>
        </w:rPr>
      </w:pPr>
    </w:p>
    <w:p w:rsidR="000A4F7E" w:rsidRPr="000A4F7E" w:rsidRDefault="000A4F7E" w:rsidP="000A4F7E">
      <w:pPr>
        <w:jc w:val="center"/>
        <w:rPr>
          <w:sz w:val="24"/>
          <w:szCs w:val="24"/>
        </w:rPr>
      </w:pPr>
    </w:p>
    <w:p w:rsidR="000A4F7E" w:rsidRPr="000A4F7E" w:rsidRDefault="000A4F7E" w:rsidP="000A4F7E">
      <w:pPr>
        <w:jc w:val="center"/>
        <w:rPr>
          <w:sz w:val="24"/>
          <w:szCs w:val="24"/>
        </w:rPr>
      </w:pPr>
    </w:p>
    <w:p w:rsidR="000A4F7E" w:rsidRDefault="000A4F7E" w:rsidP="000A4F7E">
      <w:pPr>
        <w:ind w:right="140"/>
        <w:jc w:val="both"/>
        <w:rPr>
          <w:noProof/>
          <w:sz w:val="28"/>
          <w:szCs w:val="28"/>
        </w:rPr>
      </w:pPr>
    </w:p>
    <w:sectPr w:rsidR="000A4F7E" w:rsidSect="00900C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DD" w:rsidRDefault="00E105DD" w:rsidP="00D32B20">
      <w:r>
        <w:separator/>
      </w:r>
    </w:p>
  </w:endnote>
  <w:endnote w:type="continuationSeparator" w:id="0">
    <w:p w:rsidR="00E105DD" w:rsidRDefault="00E105DD" w:rsidP="00D3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DD" w:rsidRDefault="00E105DD" w:rsidP="00D32B20">
      <w:r>
        <w:separator/>
      </w:r>
    </w:p>
  </w:footnote>
  <w:footnote w:type="continuationSeparator" w:id="0">
    <w:p w:rsidR="00E105DD" w:rsidRDefault="00E105DD" w:rsidP="00D3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13253A"/>
    <w:multiLevelType w:val="hybridMultilevel"/>
    <w:tmpl w:val="644E8036"/>
    <w:lvl w:ilvl="0" w:tplc="F7866B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E24"/>
    <w:rsid w:val="00012D72"/>
    <w:rsid w:val="00015F1A"/>
    <w:rsid w:val="00067892"/>
    <w:rsid w:val="000821C0"/>
    <w:rsid w:val="00091553"/>
    <w:rsid w:val="00093EDF"/>
    <w:rsid w:val="000A4F7E"/>
    <w:rsid w:val="000C5AD0"/>
    <w:rsid w:val="00122E94"/>
    <w:rsid w:val="001255FB"/>
    <w:rsid w:val="00136EC8"/>
    <w:rsid w:val="00140980"/>
    <w:rsid w:val="00140E24"/>
    <w:rsid w:val="00194EE6"/>
    <w:rsid w:val="001D611C"/>
    <w:rsid w:val="00200CEC"/>
    <w:rsid w:val="00207CFF"/>
    <w:rsid w:val="00220150"/>
    <w:rsid w:val="00275241"/>
    <w:rsid w:val="002A3646"/>
    <w:rsid w:val="002B4665"/>
    <w:rsid w:val="002C5CEA"/>
    <w:rsid w:val="00342F45"/>
    <w:rsid w:val="00353E1A"/>
    <w:rsid w:val="0036671C"/>
    <w:rsid w:val="00381AE0"/>
    <w:rsid w:val="003C4BA1"/>
    <w:rsid w:val="003F7516"/>
    <w:rsid w:val="003F765B"/>
    <w:rsid w:val="00414C87"/>
    <w:rsid w:val="00422970"/>
    <w:rsid w:val="0044092E"/>
    <w:rsid w:val="00461558"/>
    <w:rsid w:val="0047657A"/>
    <w:rsid w:val="004C51E9"/>
    <w:rsid w:val="004C6803"/>
    <w:rsid w:val="004E5A74"/>
    <w:rsid w:val="00517033"/>
    <w:rsid w:val="00560EB4"/>
    <w:rsid w:val="00564F2A"/>
    <w:rsid w:val="005674CA"/>
    <w:rsid w:val="00581469"/>
    <w:rsid w:val="005A11A8"/>
    <w:rsid w:val="005C1B64"/>
    <w:rsid w:val="005F66F9"/>
    <w:rsid w:val="006141D0"/>
    <w:rsid w:val="006162D6"/>
    <w:rsid w:val="00664C2D"/>
    <w:rsid w:val="006700FB"/>
    <w:rsid w:val="00670CE6"/>
    <w:rsid w:val="00677F71"/>
    <w:rsid w:val="006D0004"/>
    <w:rsid w:val="006F5AAD"/>
    <w:rsid w:val="006F79B7"/>
    <w:rsid w:val="00720219"/>
    <w:rsid w:val="00746B9E"/>
    <w:rsid w:val="0076099F"/>
    <w:rsid w:val="00781AF5"/>
    <w:rsid w:val="00790EE9"/>
    <w:rsid w:val="007C3C76"/>
    <w:rsid w:val="007F0FA3"/>
    <w:rsid w:val="00800BF5"/>
    <w:rsid w:val="008027E4"/>
    <w:rsid w:val="00803FE9"/>
    <w:rsid w:val="00823838"/>
    <w:rsid w:val="00827862"/>
    <w:rsid w:val="008355D0"/>
    <w:rsid w:val="00852DD6"/>
    <w:rsid w:val="008724F9"/>
    <w:rsid w:val="008A5A8A"/>
    <w:rsid w:val="008C71AE"/>
    <w:rsid w:val="008D384D"/>
    <w:rsid w:val="008F16F0"/>
    <w:rsid w:val="008F2942"/>
    <w:rsid w:val="00900CA8"/>
    <w:rsid w:val="00905187"/>
    <w:rsid w:val="00941A6A"/>
    <w:rsid w:val="00941C46"/>
    <w:rsid w:val="00965F5B"/>
    <w:rsid w:val="0096705B"/>
    <w:rsid w:val="00967673"/>
    <w:rsid w:val="00986C47"/>
    <w:rsid w:val="009A0325"/>
    <w:rsid w:val="009C59A2"/>
    <w:rsid w:val="00A15DBB"/>
    <w:rsid w:val="00A45455"/>
    <w:rsid w:val="00A67420"/>
    <w:rsid w:val="00A80C8F"/>
    <w:rsid w:val="00A861F3"/>
    <w:rsid w:val="00A90B49"/>
    <w:rsid w:val="00AB0F6C"/>
    <w:rsid w:val="00AC6A54"/>
    <w:rsid w:val="00AF5D9B"/>
    <w:rsid w:val="00B27E8B"/>
    <w:rsid w:val="00B5276E"/>
    <w:rsid w:val="00B53FDE"/>
    <w:rsid w:val="00B55718"/>
    <w:rsid w:val="00B77611"/>
    <w:rsid w:val="00BA2823"/>
    <w:rsid w:val="00BB3BDD"/>
    <w:rsid w:val="00BF2BCB"/>
    <w:rsid w:val="00C136BA"/>
    <w:rsid w:val="00C261D4"/>
    <w:rsid w:val="00C40C4B"/>
    <w:rsid w:val="00C41ABA"/>
    <w:rsid w:val="00C51D9A"/>
    <w:rsid w:val="00C93B48"/>
    <w:rsid w:val="00CA09B7"/>
    <w:rsid w:val="00CA49BE"/>
    <w:rsid w:val="00D01539"/>
    <w:rsid w:val="00D01AF1"/>
    <w:rsid w:val="00D02443"/>
    <w:rsid w:val="00D32B20"/>
    <w:rsid w:val="00D669E5"/>
    <w:rsid w:val="00D67D1B"/>
    <w:rsid w:val="00E105DD"/>
    <w:rsid w:val="00E20FA6"/>
    <w:rsid w:val="00E264FB"/>
    <w:rsid w:val="00E84216"/>
    <w:rsid w:val="00E84ACB"/>
    <w:rsid w:val="00EC4467"/>
    <w:rsid w:val="00EF10C1"/>
    <w:rsid w:val="00F326FB"/>
    <w:rsid w:val="00F441C9"/>
    <w:rsid w:val="00F94E9D"/>
    <w:rsid w:val="00F96ED4"/>
    <w:rsid w:val="00FB2F77"/>
    <w:rsid w:val="00FC460C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8C71AE"/>
    <w:rPr>
      <w:b/>
      <w:bCs/>
      <w:color w:val="26282F"/>
    </w:rPr>
  </w:style>
  <w:style w:type="character" w:customStyle="1" w:styleId="a7">
    <w:name w:val="Сравнение редакций. Добавленный фрагмент"/>
    <w:uiPriority w:val="99"/>
    <w:rsid w:val="008C71A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6"/>
    <w:uiPriority w:val="99"/>
    <w:rsid w:val="00422970"/>
    <w:rPr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D3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85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52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A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F3EB-F3C7-4AD6-874D-0A4587A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2020-03-12T09:14:00Z</cp:lastPrinted>
  <dcterms:created xsi:type="dcterms:W3CDTF">2017-05-03T09:31:00Z</dcterms:created>
  <dcterms:modified xsi:type="dcterms:W3CDTF">2020-04-13T07:13:00Z</dcterms:modified>
</cp:coreProperties>
</file>